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8647FD" w:rsidRPr="008647FD" w:rsidRDefault="008647FD" w:rsidP="008647FD">
      <w:pPr>
        <w:rPr>
          <w:rFonts w:ascii="Arial" w:hAnsi="Arial" w:cs="Arial"/>
          <w:sz w:val="22"/>
          <w:szCs w:val="22"/>
        </w:rPr>
      </w:pPr>
      <w:r w:rsidRPr="008647FD">
        <w:rPr>
          <w:rFonts w:ascii="Arial" w:hAnsi="Arial" w:cs="Arial"/>
          <w:sz w:val="22"/>
          <w:szCs w:val="22"/>
        </w:rPr>
        <w:t>РЕПУБЛИКА СРБИЈА</w:t>
      </w:r>
    </w:p>
    <w:p w:rsidR="008647FD" w:rsidRPr="008647FD" w:rsidRDefault="008647FD" w:rsidP="008647FD">
      <w:pPr>
        <w:rPr>
          <w:rFonts w:ascii="Arial" w:hAnsi="Arial" w:cs="Arial"/>
          <w:sz w:val="22"/>
          <w:szCs w:val="22"/>
        </w:rPr>
      </w:pPr>
      <w:r w:rsidRPr="008647FD">
        <w:rPr>
          <w:rFonts w:ascii="Arial" w:hAnsi="Arial" w:cs="Arial"/>
          <w:sz w:val="22"/>
          <w:szCs w:val="22"/>
        </w:rPr>
        <w:t>ОПШТИНА БОГАТИЋ</w:t>
      </w:r>
    </w:p>
    <w:p w:rsidR="008647FD" w:rsidRPr="008647FD" w:rsidRDefault="008647FD" w:rsidP="008647FD">
      <w:pPr>
        <w:rPr>
          <w:rFonts w:ascii="Arial" w:hAnsi="Arial" w:cs="Arial"/>
          <w:sz w:val="22"/>
          <w:szCs w:val="22"/>
        </w:rPr>
      </w:pPr>
      <w:r w:rsidRPr="008647FD">
        <w:rPr>
          <w:rFonts w:ascii="Arial" w:hAnsi="Arial" w:cs="Arial"/>
          <w:sz w:val="22"/>
          <w:szCs w:val="22"/>
        </w:rPr>
        <w:t>ОПШТИНСКА УПРАВА</w:t>
      </w:r>
    </w:p>
    <w:p w:rsidR="008647FD" w:rsidRDefault="008647FD" w:rsidP="008647F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Одељење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управу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8647FD" w:rsidRDefault="00066E56" w:rsidP="008647FD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з</w:t>
      </w:r>
      <w:r w:rsidR="008647FD">
        <w:rPr>
          <w:rFonts w:ascii="Arial" w:hAnsi="Arial" w:cs="Arial"/>
          <w:sz w:val="22"/>
          <w:szCs w:val="22"/>
        </w:rPr>
        <w:t>аједничке</w:t>
      </w:r>
      <w:proofErr w:type="spellEnd"/>
      <w:proofErr w:type="gramEnd"/>
      <w:r w:rsidR="00864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7FD">
        <w:rPr>
          <w:rFonts w:ascii="Arial" w:hAnsi="Arial" w:cs="Arial"/>
          <w:sz w:val="22"/>
          <w:szCs w:val="22"/>
        </w:rPr>
        <w:t>послове</w:t>
      </w:r>
      <w:proofErr w:type="spellEnd"/>
      <w:r w:rsidR="008647F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647FD">
        <w:rPr>
          <w:rFonts w:ascii="Arial" w:hAnsi="Arial" w:cs="Arial"/>
          <w:sz w:val="22"/>
          <w:szCs w:val="22"/>
        </w:rPr>
        <w:t>друштвене</w:t>
      </w:r>
      <w:proofErr w:type="spellEnd"/>
      <w:r w:rsidR="00864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7FD">
        <w:rPr>
          <w:rFonts w:ascii="Arial" w:hAnsi="Arial" w:cs="Arial"/>
          <w:sz w:val="22"/>
          <w:szCs w:val="22"/>
        </w:rPr>
        <w:t>делатности</w:t>
      </w:r>
      <w:proofErr w:type="spellEnd"/>
    </w:p>
    <w:p w:rsidR="009C1991" w:rsidRPr="002C11D6" w:rsidRDefault="009C1991" w:rsidP="008647FD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2C11D6">
        <w:rPr>
          <w:rFonts w:ascii="Arial" w:hAnsi="Arial" w:cs="Arial"/>
          <w:sz w:val="22"/>
          <w:szCs w:val="22"/>
          <w:lang w:val="sr-Cyrl-RS"/>
        </w:rPr>
        <w:t>364-</w:t>
      </w:r>
      <w:r w:rsidR="00F230B6">
        <w:rPr>
          <w:rFonts w:ascii="Arial" w:hAnsi="Arial" w:cs="Arial"/>
          <w:sz w:val="22"/>
          <w:szCs w:val="22"/>
          <w:lang w:val="sr-Cyrl-RS"/>
        </w:rPr>
        <w:t>003157770/2025</w:t>
      </w:r>
    </w:p>
    <w:p w:rsidR="008647FD" w:rsidRPr="008647FD" w:rsidRDefault="008647FD" w:rsidP="008647F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Датум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2C11D6">
        <w:rPr>
          <w:rFonts w:ascii="Arial" w:hAnsi="Arial" w:cs="Arial"/>
          <w:sz w:val="22"/>
          <w:szCs w:val="22"/>
          <w:lang w:val="sr-Cyrl-RS"/>
        </w:rPr>
        <w:t>2</w:t>
      </w:r>
      <w:r w:rsidR="00F230B6">
        <w:rPr>
          <w:rFonts w:ascii="Arial" w:hAnsi="Arial" w:cs="Arial"/>
          <w:sz w:val="22"/>
          <w:szCs w:val="22"/>
          <w:lang w:val="sr-Cyrl-RS"/>
        </w:rPr>
        <w:t>8</w:t>
      </w:r>
      <w:r w:rsidR="002C11D6">
        <w:rPr>
          <w:rFonts w:ascii="Arial" w:hAnsi="Arial" w:cs="Arial"/>
          <w:sz w:val="22"/>
          <w:szCs w:val="22"/>
          <w:lang w:val="sr-Cyrl-RS"/>
        </w:rPr>
        <w:t>.0</w:t>
      </w:r>
      <w:r w:rsidR="00F230B6">
        <w:rPr>
          <w:rFonts w:ascii="Arial" w:hAnsi="Arial" w:cs="Arial"/>
          <w:sz w:val="22"/>
          <w:szCs w:val="22"/>
          <w:lang w:val="sr-Cyrl-RS"/>
        </w:rPr>
        <w:t>7</w:t>
      </w:r>
      <w:r w:rsidR="002C11D6">
        <w:rPr>
          <w:rFonts w:ascii="Arial" w:hAnsi="Arial" w:cs="Arial"/>
          <w:sz w:val="22"/>
          <w:szCs w:val="22"/>
          <w:lang w:val="sr-Cyrl-RS"/>
        </w:rPr>
        <w:t>.2025.</w:t>
      </w:r>
      <w:r w:rsidRPr="008647F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647F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</w:p>
    <w:p w:rsidR="00DF5A2A" w:rsidRDefault="008647FD" w:rsidP="008647FD">
      <w:pPr>
        <w:rPr>
          <w:rFonts w:ascii="Arial" w:hAnsi="Arial" w:cs="Arial"/>
          <w:sz w:val="22"/>
          <w:szCs w:val="22"/>
        </w:rPr>
      </w:pPr>
      <w:r w:rsidRPr="008647FD">
        <w:rPr>
          <w:rFonts w:ascii="Arial" w:hAnsi="Arial" w:cs="Arial"/>
          <w:sz w:val="22"/>
          <w:szCs w:val="22"/>
        </w:rPr>
        <w:t>Б о г а т и ћ</w:t>
      </w:r>
    </w:p>
    <w:p w:rsidR="00DF5A2A" w:rsidRDefault="00DF5A2A" w:rsidP="008647FD">
      <w:pPr>
        <w:rPr>
          <w:rFonts w:ascii="Arial" w:hAnsi="Arial" w:cs="Arial"/>
          <w:sz w:val="22"/>
          <w:szCs w:val="22"/>
        </w:rPr>
      </w:pPr>
    </w:p>
    <w:p w:rsidR="00DF5A2A" w:rsidRDefault="00DF5A2A" w:rsidP="00DF5A2A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На основу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12 </w:t>
      </w:r>
      <w:proofErr w:type="spellStart"/>
      <w:r>
        <w:rPr>
          <w:rFonts w:ascii="Arial" w:hAnsi="Arial" w:cs="Arial"/>
          <w:sz w:val="22"/>
          <w:szCs w:val="22"/>
        </w:rPr>
        <w:t>став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  <w:lang w:val="sr-Cyrl-CS"/>
        </w:rPr>
        <w:t>Уредбе о условима 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број 16/2018 и 79/2023), чл.18</w:t>
      </w:r>
      <w:r>
        <w:rPr>
          <w:rFonts w:ascii="Arial" w:hAnsi="Arial" w:cs="Arial"/>
          <w:sz w:val="22"/>
          <w:szCs w:val="22"/>
        </w:rPr>
        <w:t>. 21.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sr-Cyrl-CS"/>
        </w:rPr>
        <w:t>и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 Одлуке о прибављању и располагању стварима у јавној својини Општине Богатић ("Сл.лист града Шапца и општина Богатић, Владимирци и Коцељева" бр.32/2016 и 12/2019)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04BF" w:rsidRPr="00124820">
        <w:rPr>
          <w:rFonts w:ascii="Arial" w:hAnsi="Arial" w:cs="Arial"/>
          <w:sz w:val="22"/>
          <w:szCs w:val="22"/>
          <w:lang w:val="sr-Cyrl-CS"/>
        </w:rPr>
        <w:t xml:space="preserve">Одлуке Општинског већа </w:t>
      </w:r>
      <w:r w:rsidR="005A04BF" w:rsidRPr="00124820">
        <w:rPr>
          <w:rFonts w:ascii="Arial" w:hAnsi="Arial" w:cs="Arial"/>
          <w:sz w:val="22"/>
          <w:szCs w:val="22"/>
        </w:rPr>
        <w:t>O</w:t>
      </w:r>
      <w:r w:rsidR="005A04BF" w:rsidRPr="00124820">
        <w:rPr>
          <w:rFonts w:ascii="Arial" w:hAnsi="Arial" w:cs="Arial"/>
          <w:sz w:val="22"/>
          <w:szCs w:val="22"/>
          <w:lang w:val="sr-Cyrl-CS"/>
        </w:rPr>
        <w:t>пштине Богатић за покретање поступка за давање у закуп пословног простора у поступку јавног надметања број 06</w:t>
      </w:r>
      <w:r w:rsidR="005A04BF" w:rsidRPr="00124820">
        <w:rPr>
          <w:rFonts w:ascii="Arial" w:hAnsi="Arial" w:cs="Arial"/>
          <w:sz w:val="22"/>
          <w:szCs w:val="22"/>
        </w:rPr>
        <w:t>0</w:t>
      </w:r>
      <w:r w:rsidR="005A04BF" w:rsidRPr="00124820">
        <w:rPr>
          <w:rFonts w:ascii="Arial" w:hAnsi="Arial" w:cs="Arial"/>
          <w:sz w:val="22"/>
          <w:szCs w:val="22"/>
          <w:lang w:val="sr-Cyrl-CS"/>
        </w:rPr>
        <w:t>-</w:t>
      </w:r>
      <w:r w:rsidR="005A04BF">
        <w:rPr>
          <w:rFonts w:ascii="Arial" w:hAnsi="Arial" w:cs="Arial"/>
          <w:sz w:val="22"/>
          <w:szCs w:val="22"/>
          <w:lang w:val="sr-Cyrl-RS"/>
        </w:rPr>
        <w:t>003254038-90/2025-01</w:t>
      </w:r>
      <w:r w:rsidR="005A04BF" w:rsidRPr="00124820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="005A04BF">
        <w:rPr>
          <w:rFonts w:ascii="Arial" w:hAnsi="Arial" w:cs="Arial"/>
          <w:sz w:val="22"/>
          <w:szCs w:val="22"/>
          <w:lang w:val="sr-Cyrl-RS"/>
        </w:rPr>
        <w:t>25.07.2025</w:t>
      </w:r>
      <w:r w:rsidR="005A04BF" w:rsidRPr="00124820">
        <w:rPr>
          <w:rFonts w:ascii="Arial" w:hAnsi="Arial" w:cs="Arial"/>
          <w:sz w:val="22"/>
          <w:szCs w:val="22"/>
          <w:lang w:val="sr-Cyrl-CS"/>
        </w:rPr>
        <w:t xml:space="preserve">.године </w:t>
      </w:r>
      <w:r>
        <w:rPr>
          <w:rFonts w:ascii="Arial" w:hAnsi="Arial" w:cs="Arial"/>
          <w:sz w:val="22"/>
          <w:szCs w:val="22"/>
          <w:lang w:val="sr-Cyrl-CS"/>
        </w:rPr>
        <w:t>Комисија за давање у закуп непокретности у јавној својини општине Богатић,  објављује следећи:</w:t>
      </w:r>
    </w:p>
    <w:p w:rsidR="00DF5A2A" w:rsidRDefault="00DF5A2A" w:rsidP="00DF5A2A">
      <w:pPr>
        <w:ind w:firstLine="720"/>
        <w:rPr>
          <w:rFonts w:ascii="Arial" w:hAnsi="Arial" w:cs="Arial"/>
          <w:sz w:val="22"/>
          <w:szCs w:val="22"/>
        </w:rPr>
      </w:pPr>
    </w:p>
    <w:p w:rsidR="00DF5A2A" w:rsidRDefault="00DF5A2A" w:rsidP="00DF5A2A">
      <w:pPr>
        <w:jc w:val="center"/>
        <w:rPr>
          <w:rFonts w:ascii="Arial" w:hAnsi="Arial" w:cs="Arial"/>
          <w:b/>
        </w:rPr>
      </w:pPr>
    </w:p>
    <w:p w:rsidR="002C11D6" w:rsidRDefault="002C11D6" w:rsidP="002C11D6">
      <w:pPr>
        <w:rPr>
          <w:rFonts w:ascii="Arial" w:hAnsi="Arial" w:cs="Arial"/>
          <w:sz w:val="22"/>
          <w:szCs w:val="22"/>
        </w:rPr>
      </w:pPr>
    </w:p>
    <w:p w:rsidR="00123E4F" w:rsidRDefault="00123E4F" w:rsidP="00123E4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lang w:val="sr-Cyrl-CS"/>
        </w:rPr>
        <w:t xml:space="preserve">ОГЛАС </w:t>
      </w:r>
    </w:p>
    <w:p w:rsidR="00123E4F" w:rsidRDefault="00123E4F" w:rsidP="00123E4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О СПРОВОЂЕЊУ ПОСТУПКА ЈАВНОГ НАДМЕТАЊА ЗА </w:t>
      </w:r>
    </w:p>
    <w:p w:rsidR="00123E4F" w:rsidRDefault="00123E4F" w:rsidP="00123E4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ИЗДАВАЊЕ У ЗАКУП ПОСЛОВНОГ ПРОСТОРА </w:t>
      </w:r>
    </w:p>
    <w:p w:rsidR="00123E4F" w:rsidRDefault="00123E4F" w:rsidP="00123E4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ИЗДАЈЕ  СЕ  у закуп поступком јавног надметања пословни простор и то локал </w:t>
      </w:r>
      <w:r>
        <w:rPr>
          <w:rFonts w:ascii="Arial" w:hAnsi="Arial" w:cs="Arial"/>
          <w:sz w:val="22"/>
          <w:szCs w:val="22"/>
          <w:lang w:val="sr-Cyrl-RS"/>
        </w:rPr>
        <w:t xml:space="preserve">број </w:t>
      </w:r>
      <w:r>
        <w:rPr>
          <w:rFonts w:ascii="Arial" w:hAnsi="Arial" w:cs="Arial"/>
          <w:sz w:val="22"/>
          <w:szCs w:val="22"/>
          <w:lang w:val="sr-Latn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зв. “Бифе“ </w:t>
      </w:r>
      <w:r>
        <w:rPr>
          <w:rFonts w:ascii="Arial" w:hAnsi="Arial" w:cs="Arial"/>
          <w:sz w:val="22"/>
          <w:szCs w:val="22"/>
          <w:lang w:val="sr-Latn-RS"/>
        </w:rPr>
        <w:t xml:space="preserve">површине </w:t>
      </w:r>
      <w:r>
        <w:rPr>
          <w:rFonts w:ascii="Arial" w:hAnsi="Arial" w:cs="Arial"/>
          <w:sz w:val="22"/>
          <w:szCs w:val="22"/>
          <w:lang w:val="sr-Cyrl-RS"/>
        </w:rPr>
        <w:t>52,00 м</w:t>
      </w:r>
      <w:r>
        <w:rPr>
          <w:rFonts w:ascii="Arial" w:hAnsi="Arial" w:cs="Arial"/>
          <w:sz w:val="22"/>
          <w:szCs w:val="22"/>
          <w:vertAlign w:val="superscript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 у оквиру Дома културе у Бадовинцима чији је закуподавац Општина Богатић, путем јавног надметања под следећим условима: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 учесници  јавног надметања могу бити сва физичка лица, правна лица и предузетници уз достављање благовремене и потпуне пријаве,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делатност односно намена пословног простора није конкретно одређена али се исти не може користити за продавницу погребне опреме и сточне хране,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почетна цена месечне закупнине је  17.911,00  динара, 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обавеза будућег закупца је да закупнину плаћа уредно стим што ће се  цена закупа месечно ревалоризовати применом месечног индекса потрошачких цена, када он достигне кумулативно ниво од 5% и више, према подацима републичког завода за статистику који се објављују у „Службеном гласнику РС“,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 закупнина се плаћа након добијања фактуре од стране рачуноводства Општине Богатић,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 закупац је у обавези да пословни простор врати у стање у коме га је и примио уредно окречену и у исправном стању, осим у случају када је закупац уложио сопствена средства у адаптацију пословног простора сагласно уговореним обавезама,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 - обавезу закупца да по испостављеним рачунима плаћа трошкове воде, електричне енергије, телефона и друге трошкове коришћења пословног простора,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обавезу закупца  да уредно односи смеће и да црпи отпадне воде а према договору са Месном заједницом,  </w:t>
      </w:r>
      <w:r>
        <w:rPr>
          <w:rFonts w:ascii="Arial" w:hAnsi="Arial" w:cs="Arial"/>
          <w:sz w:val="22"/>
          <w:szCs w:val="22"/>
          <w:lang w:val="sr-Cyrl-CS"/>
        </w:rPr>
        <w:tab/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 - обавезу закупца да у року од 3 дана од дана закључења уговора уплати гарантни износ у висини двомесечне закупнине на име обезбеђења трошкова коришћења пословног простора а који ће бити враћен закупцу по испуњењу свих уговорених обавеза, 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обавезу закупца да локал буде у функцији осим у законском року предвиђеним за годишњи одмор и исти се не може давати у подзакуп,</w:t>
      </w:r>
    </w:p>
    <w:p w:rsidR="00661878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закупац може извршити адаптацију пословног простора односно изводити на закупљеној непокретности радове који имају карактер инвестиционог одржавања, према уобичајеним </w:t>
      </w:r>
    </w:p>
    <w:p w:rsidR="00661878" w:rsidRDefault="00661878" w:rsidP="00123E4F">
      <w:pPr>
        <w:rPr>
          <w:rFonts w:ascii="Arial" w:hAnsi="Arial" w:cs="Arial"/>
          <w:sz w:val="22"/>
          <w:szCs w:val="22"/>
          <w:lang w:val="sr-Cyrl-CS"/>
        </w:rPr>
      </w:pP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стандардима и важећим прописима у области грађевинарства, само уз претходну сагласност односно одобрење Општинског већа, под условима и на начин утврђен Уредбом,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одлуку о признавању трошкова инвестиционог одржавања пословног простора, са утврђеним процентом умањења месечне закупнине доноси Општинско веће а Анекс уговора закључује председник Општине,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закупцу се могу признати трошкови инвестиционог одржавања ближе наведени у чл.30 ст.2  ове одлуке а сви остали радови на ентеријеру и опремању локала, повећању инсталисане снаге електричних инсталација, преграђивању простора у циљу довођења у нову функцију и слично падају на терет закупца,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адаптација пословног простора од стране закупца може се вршити искључиво после закључења Уговора о закупу, 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пословни простор се издаје на период  од </w:t>
      </w:r>
      <w:r w:rsidR="005A04BF">
        <w:rPr>
          <w:rFonts w:ascii="Arial" w:hAnsi="Arial" w:cs="Arial"/>
          <w:sz w:val="22"/>
          <w:szCs w:val="22"/>
          <w:lang w:val="sr-Cyrl-CS"/>
        </w:rPr>
        <w:t>4</w:t>
      </w:r>
      <w:r>
        <w:rPr>
          <w:rFonts w:ascii="Arial" w:hAnsi="Arial" w:cs="Arial"/>
          <w:sz w:val="22"/>
          <w:szCs w:val="22"/>
          <w:lang w:val="sr-Cyrl-CS"/>
        </w:rPr>
        <w:t xml:space="preserve">  (</w:t>
      </w:r>
      <w:r w:rsidR="005A04BF">
        <w:rPr>
          <w:rFonts w:ascii="Arial" w:hAnsi="Arial" w:cs="Arial"/>
          <w:sz w:val="22"/>
          <w:szCs w:val="22"/>
          <w:lang w:val="sr-Cyrl-CS"/>
        </w:rPr>
        <w:t>четири</w:t>
      </w:r>
      <w:r>
        <w:rPr>
          <w:rFonts w:ascii="Arial" w:hAnsi="Arial" w:cs="Arial"/>
          <w:sz w:val="22"/>
          <w:szCs w:val="22"/>
          <w:lang w:val="sr-Cyrl-CS"/>
        </w:rPr>
        <w:t>) годин</w:t>
      </w:r>
      <w:r w:rsidR="005A04BF">
        <w:rPr>
          <w:rFonts w:ascii="Arial" w:hAnsi="Arial" w:cs="Arial"/>
          <w:sz w:val="22"/>
          <w:szCs w:val="22"/>
          <w:lang w:val="sr-Cyrl-CS"/>
        </w:rPr>
        <w:t>е</w:t>
      </w:r>
      <w:r>
        <w:rPr>
          <w:rFonts w:ascii="Arial" w:hAnsi="Arial" w:cs="Arial"/>
          <w:sz w:val="22"/>
          <w:szCs w:val="22"/>
          <w:lang w:val="sr-Cyrl-CS"/>
        </w:rPr>
        <w:t>, стим што закуп почиње тећи након спровођења поступка</w:t>
      </w:r>
      <w:r w:rsidR="005A04BF">
        <w:rPr>
          <w:rFonts w:ascii="Arial" w:hAnsi="Arial" w:cs="Arial"/>
          <w:sz w:val="22"/>
          <w:szCs w:val="22"/>
          <w:lang w:val="sr-Cyrl-CS"/>
        </w:rPr>
        <w:t xml:space="preserve">  и закључења уговора односно ослобађања пословног простора од ствари и лица што ће бити прецизирано Уговором о закупу са будућим закупцем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учесници јавног надметања могу бити сва физичка лица, предузетници и правна лица  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- у поступку јавног надметања не могу учествовати чланови Комисије и њихови заменици, бивши закупци  који нису измирили своја дуговања према Општини по основу закупа, накнаде за извршене комуналне услуге и друге обавезе по основу претходно закључених уговора, </w:t>
      </w:r>
    </w:p>
    <w:p w:rsidR="00123E4F" w:rsidRDefault="00123E4F" w:rsidP="00123E4F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уредна пријава садржи податке: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  <w:t xml:space="preserve">- </w:t>
      </w:r>
      <w:r>
        <w:rPr>
          <w:rFonts w:ascii="Arial" w:hAnsi="Arial" w:cs="Arial"/>
          <w:sz w:val="22"/>
          <w:szCs w:val="22"/>
          <w:lang w:val="sr-Cyrl-CS"/>
        </w:rPr>
        <w:t xml:space="preserve">о подносиоцу пријаве и то </w:t>
      </w:r>
      <w:r>
        <w:rPr>
          <w:rFonts w:ascii="Arial" w:hAnsi="Arial" w:cs="Arial"/>
          <w:b/>
          <w:sz w:val="22"/>
          <w:szCs w:val="22"/>
          <w:lang w:val="sr-Cyrl-CS"/>
        </w:rPr>
        <w:t>за физичка лица</w:t>
      </w:r>
      <w:r>
        <w:rPr>
          <w:rFonts w:ascii="Arial" w:hAnsi="Arial" w:cs="Arial"/>
          <w:sz w:val="22"/>
          <w:szCs w:val="22"/>
          <w:lang w:val="sr-Cyrl-CS"/>
        </w:rPr>
        <w:t xml:space="preserve"> име и презиме, адресу, број личне карте, јединствени матични број грађана, </w:t>
      </w:r>
      <w:r>
        <w:rPr>
          <w:rFonts w:ascii="Arial" w:hAnsi="Arial" w:cs="Arial"/>
          <w:b/>
          <w:sz w:val="22"/>
          <w:szCs w:val="22"/>
          <w:lang w:val="sr-Cyrl-CS"/>
        </w:rPr>
        <w:t>за предузетнике</w:t>
      </w:r>
      <w:r>
        <w:rPr>
          <w:rFonts w:ascii="Arial" w:hAnsi="Arial" w:cs="Arial"/>
          <w:sz w:val="22"/>
          <w:szCs w:val="22"/>
          <w:lang w:val="sr-Cyrl-CS"/>
        </w:rPr>
        <w:t xml:space="preserve"> податке и то име и презиме предузетника, адресу, број личне карте, јединствени матични број грађана, извод из регистра надлежног органа и порески идентификациони број,  назив радње, матични број, </w:t>
      </w:r>
      <w:r>
        <w:rPr>
          <w:rFonts w:ascii="Arial" w:hAnsi="Arial" w:cs="Arial"/>
          <w:b/>
          <w:sz w:val="22"/>
          <w:szCs w:val="22"/>
          <w:lang w:val="sr-Cyrl-CS"/>
        </w:rPr>
        <w:t>за правна лица</w:t>
      </w:r>
      <w:r>
        <w:rPr>
          <w:rFonts w:ascii="Arial" w:hAnsi="Arial" w:cs="Arial"/>
          <w:sz w:val="22"/>
          <w:szCs w:val="22"/>
          <w:lang w:val="sr-Cyrl-CS"/>
        </w:rPr>
        <w:t xml:space="preserve"> уредна пријава мора садржати назив и седиште, копију решења о упису правног лица у регистар код надлежног органа, порески идентификациони број, , пуномоћје за лице које заступа подносиоца пријаве односно понуде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уредна пријава мора садржати поред горе наведених података и податке о делатности која ће се обављати у пословном простору,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пуномоћје за лице које заступа подносиоца пријаве,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доказ о уплати депозита,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податак о текућем рачуну за подносиоца пријаве односно понуде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учесници  јавног надметања обавезни су да ради учешћа у поступку јавног надметања уплате депозит у износу од 30.000,00 динара и исти се враћа учесницима који не успеју на надметању, након закључења Уговора о закупу,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депозит се уплаћује на рачун број 840-291804-44 прималац је депозитни рачун Буџета општине Богатић, сврха-уплата депозита за учешће на јавном надметању за пословни простор уз назнаку локала,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 - уколико будући закупац не приступи закључењу Уговора о закупу, положени депозит се не враћа као ни у случају да не уплати гарантни износ у предвиђеном року,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Cyrl-CS"/>
        </w:rPr>
        <w:t>- доказ да је подносилац пријаве измирио закупнину и трошкове комуналних услуга (потврда даваоца услуга), уколико је био закупац пословне просторије која је имовина Општине Богатић,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 јасну назнаку пословне просторије због које се пријављује на јавно надметање 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 - учесници јавног надметања обавезни су да поднесу пријаву за учешће на јавном надметању Комисији у писаном облику најкасније до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0200A2">
        <w:rPr>
          <w:rFonts w:ascii="Arial" w:hAnsi="Arial" w:cs="Arial"/>
          <w:sz w:val="22"/>
          <w:szCs w:val="22"/>
          <w:lang w:val="sr-Cyrl-RS"/>
        </w:rPr>
        <w:t>5</w:t>
      </w:r>
      <w:r>
        <w:rPr>
          <w:rFonts w:ascii="Arial" w:hAnsi="Arial" w:cs="Arial"/>
          <w:sz w:val="22"/>
          <w:szCs w:val="22"/>
          <w:lang w:val="sr-Cyrl-RS"/>
        </w:rPr>
        <w:t>.0</w:t>
      </w:r>
      <w:r w:rsidR="000200A2">
        <w:rPr>
          <w:rFonts w:ascii="Arial" w:hAnsi="Arial" w:cs="Arial"/>
          <w:sz w:val="22"/>
          <w:szCs w:val="22"/>
          <w:lang w:val="sr-Cyrl-RS"/>
        </w:rPr>
        <w:t>8</w:t>
      </w:r>
      <w:r>
        <w:rPr>
          <w:rFonts w:ascii="Arial" w:hAnsi="Arial" w:cs="Arial"/>
          <w:sz w:val="22"/>
          <w:szCs w:val="22"/>
          <w:lang w:val="sr-Cyrl-RS"/>
        </w:rPr>
        <w:t>.202</w:t>
      </w:r>
      <w:r w:rsidR="000200A2">
        <w:rPr>
          <w:rFonts w:ascii="Arial" w:hAnsi="Arial" w:cs="Arial"/>
          <w:sz w:val="22"/>
          <w:szCs w:val="22"/>
          <w:lang w:val="sr-Cyrl-RS"/>
        </w:rPr>
        <w:t>5</w:t>
      </w:r>
      <w:r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године.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пријаве се достављају препоручено поштом на адресу Општинске управе Општине Богатић, Комисије за давање пословног простора у закуп Богатић ул.М.Витомировића бр.1 или преко писарнице Општинске управе Богатић,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 </w:t>
      </w:r>
    </w:p>
    <w:p w:rsidR="000200A2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на полеђини коверте у којој се подноси  пријава мора се навести назив подносиоца пријаве  са адресом и контакт телефоном као и са јасном назнаком на коју се непокретност поднета </w:t>
      </w:r>
    </w:p>
    <w:p w:rsidR="000200A2" w:rsidRDefault="000200A2" w:rsidP="00123E4F">
      <w:pPr>
        <w:rPr>
          <w:rFonts w:ascii="Arial" w:hAnsi="Arial" w:cs="Arial"/>
          <w:sz w:val="22"/>
          <w:szCs w:val="22"/>
          <w:lang w:val="sr-Cyrl-CS"/>
        </w:rPr>
      </w:pPr>
    </w:p>
    <w:p w:rsidR="000200A2" w:rsidRDefault="000200A2" w:rsidP="00123E4F">
      <w:pPr>
        <w:rPr>
          <w:rFonts w:ascii="Arial" w:hAnsi="Arial" w:cs="Arial"/>
          <w:sz w:val="22"/>
          <w:szCs w:val="22"/>
          <w:lang w:val="sr-Cyrl-CS"/>
        </w:rPr>
      </w:pPr>
    </w:p>
    <w:p w:rsidR="00593F4E" w:rsidRDefault="00593F4E" w:rsidP="000200A2">
      <w:pPr>
        <w:ind w:firstLine="567"/>
        <w:rPr>
          <w:rFonts w:ascii="Arial" w:hAnsi="Arial" w:cs="Arial"/>
          <w:sz w:val="22"/>
          <w:szCs w:val="22"/>
          <w:lang w:val="sr-Cyrl-CS"/>
        </w:rPr>
      </w:pPr>
    </w:p>
    <w:p w:rsidR="00123E4F" w:rsidRDefault="00123E4F" w:rsidP="000200A2">
      <w:pPr>
        <w:ind w:firstLine="567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пријава односи а у супротном таква понуда сматраће се неуредном и непотпуном и биће одбачена,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</w:t>
      </w:r>
      <w:r>
        <w:rPr>
          <w:rFonts w:ascii="Arial" w:hAnsi="Arial" w:cs="Arial"/>
          <w:sz w:val="22"/>
          <w:szCs w:val="22"/>
          <w:lang w:val="sr-Cyrl-RS"/>
        </w:rPr>
        <w:t xml:space="preserve">поступак јавног надметања спровешће се дана  </w:t>
      </w:r>
      <w:r w:rsidR="000200A2">
        <w:rPr>
          <w:rFonts w:ascii="Arial" w:hAnsi="Arial" w:cs="Arial"/>
          <w:sz w:val="22"/>
          <w:szCs w:val="22"/>
          <w:lang w:val="sr-Cyrl-RS"/>
        </w:rPr>
        <w:t>20.08.2025</w:t>
      </w:r>
      <w:r>
        <w:rPr>
          <w:rFonts w:ascii="Arial" w:hAnsi="Arial" w:cs="Arial"/>
          <w:sz w:val="22"/>
          <w:szCs w:val="22"/>
          <w:lang w:val="sr-Cyrl-RS"/>
        </w:rPr>
        <w:t>.г. у 1</w:t>
      </w:r>
      <w:r w:rsidR="0083780C">
        <w:rPr>
          <w:rFonts w:ascii="Arial" w:hAnsi="Arial" w:cs="Arial"/>
          <w:sz w:val="22"/>
          <w:szCs w:val="22"/>
          <w:lang w:val="sr-Cyrl-RS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 xml:space="preserve"> часова у Малој сали Општине Богатић на првом спрату у ул. М.Витомировића бр.1,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- поступак јавног надметања ће се спровести и у случају да пристигне најмање једна благовремена и потпуна пријава на основу које се подносилац пријаве региструје и проглашава понуђачем, ако прихвати почетну цену по којој се непокретност даје у закуп, с тим да уколико не прихвати почетну цену, губи право на враћање  депозита,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избор најповољнијег понуђача врши се применом критеријума највише понуђене закупнине а у случају да два или више понуђача понуде исти износ закупнине Комисија  задржава право да изврши избор најповољнијег понуђача, по слободном уверењу, </w:t>
      </w:r>
    </w:p>
    <w:p w:rsidR="00123E4F" w:rsidRDefault="00123E4F" w:rsidP="00123E4F">
      <w:pPr>
        <w:ind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- председник Комисије након завршеног јавног надметања позива учесника који понуди најповољнији износ да потпише Изјаву о висини понуђене цене,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- учесник јавног надметања који је незадовољан Решењем о давању у закуп пословног простора може поднети приговор Општинском већу у року од 8 дана од дана пријема 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обавештења о давању у закуп пословног простора, </w:t>
      </w:r>
    </w:p>
    <w:p w:rsidR="00123E4F" w:rsidRDefault="00123E4F" w:rsidP="00123E4F">
      <w:pPr>
        <w:ind w:left="720"/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- оглас за јавно надметање објављује се  у „Гласу Подриња“, на интернет страни Општине Богатић, на огласној табли Општинске управе, огласној табли МЗ Бадовинци</w:t>
      </w:r>
    </w:p>
    <w:p w:rsidR="00123E4F" w:rsidRDefault="00123E4F" w:rsidP="00123E4F">
      <w:pPr>
        <w:rPr>
          <w:rFonts w:ascii="Arial" w:hAnsi="Arial" w:cs="Arial"/>
          <w:sz w:val="22"/>
          <w:szCs w:val="22"/>
          <w:lang w:val="sr-Cyrl-CS"/>
        </w:rPr>
      </w:pPr>
    </w:p>
    <w:p w:rsidR="00123E4F" w:rsidRDefault="00123E4F" w:rsidP="00123E4F">
      <w:pPr>
        <w:jc w:val="lef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123E4F" w:rsidRDefault="00123E4F" w:rsidP="00123E4F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КОМИСИЈА ЗА ДАВАЊЕ У ЗАКУП НЕПОКРЕТНОСТИ </w:t>
      </w:r>
    </w:p>
    <w:p w:rsidR="00123E4F" w:rsidRDefault="00123E4F" w:rsidP="00123E4F">
      <w:pPr>
        <w:jc w:val="right"/>
        <w:rPr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ЈАВНОЈ СВОЈИНИ  ОПШТИНЕ БОГАТИЋ</w:t>
      </w:r>
    </w:p>
    <w:p w:rsidR="00123E4F" w:rsidRDefault="00123E4F" w:rsidP="00123E4F">
      <w:pPr>
        <w:jc w:val="center"/>
        <w:rPr>
          <w:rFonts w:ascii="Arial" w:hAnsi="Arial" w:cs="Arial"/>
          <w:b/>
          <w:lang w:val="sr-Latn-RS"/>
        </w:rPr>
      </w:pPr>
    </w:p>
    <w:p w:rsidR="00123E4F" w:rsidRDefault="00123E4F" w:rsidP="00123E4F">
      <w:pPr>
        <w:jc w:val="center"/>
        <w:rPr>
          <w:rFonts w:ascii="Arial" w:hAnsi="Arial" w:cs="Arial"/>
          <w:b/>
          <w:lang w:val="sr-Cyrl-CS"/>
        </w:rPr>
      </w:pPr>
    </w:p>
    <w:p w:rsidR="002C11D6" w:rsidRDefault="002C11D6" w:rsidP="002C11D6">
      <w:pPr>
        <w:rPr>
          <w:rFonts w:ascii="Arial" w:hAnsi="Arial" w:cs="Arial"/>
          <w:sz w:val="22"/>
          <w:szCs w:val="22"/>
        </w:rPr>
      </w:pPr>
    </w:p>
    <w:p w:rsidR="002C11D6" w:rsidRDefault="002C11D6" w:rsidP="002C11D6">
      <w:pPr>
        <w:rPr>
          <w:rFonts w:ascii="Arial" w:hAnsi="Arial" w:cs="Arial"/>
          <w:sz w:val="22"/>
          <w:szCs w:val="22"/>
        </w:rPr>
      </w:pPr>
    </w:p>
    <w:p w:rsidR="002C11D6" w:rsidRDefault="002C11D6" w:rsidP="002C11D6">
      <w:pPr>
        <w:rPr>
          <w:rFonts w:ascii="Arial" w:hAnsi="Arial" w:cs="Arial"/>
          <w:sz w:val="22"/>
          <w:szCs w:val="22"/>
        </w:rPr>
      </w:pPr>
    </w:p>
    <w:p w:rsidR="002C11D6" w:rsidRDefault="002C11D6" w:rsidP="002C11D6">
      <w:pPr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sectPr w:rsidR="00CA189E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01" w:rsidRDefault="00627901" w:rsidP="00AC75A3">
      <w:r>
        <w:separator/>
      </w:r>
    </w:p>
  </w:endnote>
  <w:endnote w:type="continuationSeparator" w:id="0">
    <w:p w:rsidR="00627901" w:rsidRDefault="00627901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Страна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83780C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3</w: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од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83780C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3</w:t>
            </w:r>
            <w:r w:rsidR="00813EB4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01" w:rsidRDefault="00627901" w:rsidP="00AC75A3">
      <w:r>
        <w:separator/>
      </w:r>
    </w:p>
  </w:footnote>
  <w:footnote w:type="continuationSeparator" w:id="0">
    <w:p w:rsidR="00627901" w:rsidRDefault="00627901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15350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Богатић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Мике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Витомировића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1,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Србија</w:t>
          </w:r>
          <w:proofErr w:type="spellEnd"/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200A2"/>
    <w:rsid w:val="000521EE"/>
    <w:rsid w:val="00066E56"/>
    <w:rsid w:val="00067BD8"/>
    <w:rsid w:val="00077FD7"/>
    <w:rsid w:val="000B2573"/>
    <w:rsid w:val="000E7BEB"/>
    <w:rsid w:val="00113148"/>
    <w:rsid w:val="00116B30"/>
    <w:rsid w:val="00123E4F"/>
    <w:rsid w:val="00143C2E"/>
    <w:rsid w:val="00157ACC"/>
    <w:rsid w:val="001617C4"/>
    <w:rsid w:val="00163873"/>
    <w:rsid w:val="001965AC"/>
    <w:rsid w:val="001A405D"/>
    <w:rsid w:val="001B17D9"/>
    <w:rsid w:val="001D3014"/>
    <w:rsid w:val="0022730A"/>
    <w:rsid w:val="0023328D"/>
    <w:rsid w:val="00235BE5"/>
    <w:rsid w:val="00243B62"/>
    <w:rsid w:val="002C11D6"/>
    <w:rsid w:val="002C20F2"/>
    <w:rsid w:val="002F3C7B"/>
    <w:rsid w:val="002F4400"/>
    <w:rsid w:val="002F50A2"/>
    <w:rsid w:val="003226DC"/>
    <w:rsid w:val="00323EA2"/>
    <w:rsid w:val="003362E5"/>
    <w:rsid w:val="00350208"/>
    <w:rsid w:val="00376B4C"/>
    <w:rsid w:val="0038732C"/>
    <w:rsid w:val="003B2017"/>
    <w:rsid w:val="003C441D"/>
    <w:rsid w:val="003C7DC4"/>
    <w:rsid w:val="004437A4"/>
    <w:rsid w:val="004605C9"/>
    <w:rsid w:val="004B155F"/>
    <w:rsid w:val="004D273D"/>
    <w:rsid w:val="004D6531"/>
    <w:rsid w:val="004E1C13"/>
    <w:rsid w:val="00564203"/>
    <w:rsid w:val="00564F48"/>
    <w:rsid w:val="00565B9D"/>
    <w:rsid w:val="005716BD"/>
    <w:rsid w:val="005755C5"/>
    <w:rsid w:val="00593F4E"/>
    <w:rsid w:val="005A04BF"/>
    <w:rsid w:val="005B7560"/>
    <w:rsid w:val="005C01AD"/>
    <w:rsid w:val="005D1D62"/>
    <w:rsid w:val="005E6E06"/>
    <w:rsid w:val="006239CF"/>
    <w:rsid w:val="00627021"/>
    <w:rsid w:val="00627901"/>
    <w:rsid w:val="00647C48"/>
    <w:rsid w:val="0065534A"/>
    <w:rsid w:val="00661878"/>
    <w:rsid w:val="006D0164"/>
    <w:rsid w:val="006D7AE8"/>
    <w:rsid w:val="007269BF"/>
    <w:rsid w:val="00753A98"/>
    <w:rsid w:val="00797478"/>
    <w:rsid w:val="007B7DDD"/>
    <w:rsid w:val="007C2F81"/>
    <w:rsid w:val="007D13BD"/>
    <w:rsid w:val="0080044B"/>
    <w:rsid w:val="00810C59"/>
    <w:rsid w:val="00813EB4"/>
    <w:rsid w:val="00823A88"/>
    <w:rsid w:val="00824466"/>
    <w:rsid w:val="0083780C"/>
    <w:rsid w:val="008522FD"/>
    <w:rsid w:val="008647FD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C1991"/>
    <w:rsid w:val="00A25557"/>
    <w:rsid w:val="00A511B4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B25667"/>
    <w:rsid w:val="00B359FA"/>
    <w:rsid w:val="00B3629F"/>
    <w:rsid w:val="00B40325"/>
    <w:rsid w:val="00B5449B"/>
    <w:rsid w:val="00B56D1F"/>
    <w:rsid w:val="00B65FB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E06D9"/>
    <w:rsid w:val="00CE22FD"/>
    <w:rsid w:val="00D009AC"/>
    <w:rsid w:val="00D04105"/>
    <w:rsid w:val="00D26651"/>
    <w:rsid w:val="00DC1468"/>
    <w:rsid w:val="00DF5A2A"/>
    <w:rsid w:val="00E176FA"/>
    <w:rsid w:val="00E44CB2"/>
    <w:rsid w:val="00E82A9C"/>
    <w:rsid w:val="00E94B18"/>
    <w:rsid w:val="00EB78A1"/>
    <w:rsid w:val="00EC4B6D"/>
    <w:rsid w:val="00EC6B0F"/>
    <w:rsid w:val="00ED4B64"/>
    <w:rsid w:val="00EF33B2"/>
    <w:rsid w:val="00EF491E"/>
    <w:rsid w:val="00F07489"/>
    <w:rsid w:val="00F230B6"/>
    <w:rsid w:val="00F249A0"/>
    <w:rsid w:val="00F32753"/>
    <w:rsid w:val="00F714BD"/>
    <w:rsid w:val="00F7451F"/>
    <w:rsid w:val="00F7492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779AE-C177-4EB1-BCB1-EB3F00BC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5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4E1C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an\Documents\Memorandum.dotx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3C27-25E5-43B3-8CFE-87E0C2D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13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User</cp:lastModifiedBy>
  <cp:revision>10</cp:revision>
  <cp:lastPrinted>2022-03-24T12:42:00Z</cp:lastPrinted>
  <dcterms:created xsi:type="dcterms:W3CDTF">2025-07-28T10:52:00Z</dcterms:created>
  <dcterms:modified xsi:type="dcterms:W3CDTF">2025-07-28T11:06:00Z</dcterms:modified>
</cp:coreProperties>
</file>