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532F28" w:rsidRPr="00A21A2A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>
        <w:rPr>
          <w:rFonts w:ascii="Arial" w:hAnsi="Arial" w:cs="Arial"/>
          <w:sz w:val="22"/>
          <w:szCs w:val="22"/>
        </w:rPr>
        <w:t>416-000133943/2024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 26.02.2024.године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Привременог органа општине Богатић за покретање поступка за давање у закуп пословног простора у поступку јавног надметања број </w:t>
      </w:r>
      <w:r>
        <w:rPr>
          <w:rFonts w:ascii="Arial" w:hAnsi="Arial" w:cs="Arial"/>
          <w:sz w:val="22"/>
          <w:szCs w:val="22"/>
        </w:rPr>
        <w:t>I-R бр.11/2023-09 од 22.11.2023.године,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32F28" w:rsidRPr="00430D84" w:rsidRDefault="00532F28" w:rsidP="00532F28">
      <w:pPr>
        <w:ind w:firstLine="720"/>
        <w:rPr>
          <w:rFonts w:ascii="Arial" w:hAnsi="Arial" w:cs="Arial"/>
          <w:sz w:val="22"/>
          <w:szCs w:val="22"/>
        </w:rPr>
      </w:pPr>
    </w:p>
    <w:p w:rsidR="00532F28" w:rsidRDefault="00532F28" w:rsidP="00532F28">
      <w:pPr>
        <w:jc w:val="center"/>
        <w:rPr>
          <w:rFonts w:ascii="Arial" w:hAnsi="Arial" w:cs="Arial"/>
          <w:b/>
        </w:rPr>
      </w:pP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ПОНОВНОГ  ПОСТУПКА ЈАВНОГ НАДМЕТАЊА ЗА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поновног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зв.“Пекарац“ површине  74,00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Бадовинцима,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чији је закуподавац Општина Богатић, путем јавног надметања под следећим условима: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поновног јавног надметања могу бити сва физичка лица, правна лица и предузетници уз достављање благовремене и потпуне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пословни простор се прима у виђеном стању и закупац се не може позивати на недостатке после закључења уговора о закупу а који су постојали у периоду оглашавања и разгледања пословног простора,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делатност односно намена пословног простора је угоститељска и продаја хлеба и пецива,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почетна цена месечне закупнине је  20.556,00  динара,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</w:p>
    <w:p w:rsidR="00532F28" w:rsidRDefault="00532F28" w:rsidP="00532F28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32F28" w:rsidRPr="00FD66D0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поновног  јавног надметања могу бити сва физичка лица, предузетници и правна лица, 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поновног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учесници поновног јавног надметања обавезни су да ради учешћа у поступку јавног надметања уплате депозит у износу од 30.000,00 динара и исти се враћа учесницима који не успеју на надметању, након закључења Уговора о закупу,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894C42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</w:p>
    <w:p w:rsidR="00532F28" w:rsidRPr="009F2BE7" w:rsidRDefault="00532F28" w:rsidP="00894C42">
      <w:pPr>
        <w:ind w:firstLine="567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учесници поновног јавног надметања обавезни су да поднесу пријаву за учешће на јавном надметању Комисији у писаном облику 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најкасније до</w:t>
      </w:r>
      <w:r w:rsidRPr="009F2B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15.03.2024.</w:t>
      </w:r>
      <w:r w:rsidRPr="009F2BE7">
        <w:rPr>
          <w:rFonts w:ascii="Arial" w:hAnsi="Arial" w:cs="Arial"/>
          <w:b/>
          <w:sz w:val="22"/>
          <w:szCs w:val="22"/>
          <w:lang w:val="sr-Cyrl-CS"/>
        </w:rPr>
        <w:t>године.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32F28" w:rsidRPr="009F2BE7" w:rsidRDefault="00532F28" w:rsidP="00532F28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поновног јавног надметања спровешће се дана  </w:t>
      </w:r>
      <w:r>
        <w:rPr>
          <w:rFonts w:ascii="Arial" w:hAnsi="Arial" w:cs="Arial"/>
          <w:b/>
          <w:sz w:val="22"/>
          <w:szCs w:val="22"/>
        </w:rPr>
        <w:t>21.03.</w:t>
      </w:r>
      <w:r w:rsidRPr="009F2BE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Pr="009F2BE7">
        <w:rPr>
          <w:rFonts w:ascii="Arial" w:hAnsi="Arial" w:cs="Arial"/>
          <w:b/>
          <w:sz w:val="22"/>
          <w:szCs w:val="22"/>
        </w:rPr>
        <w:t>.г. у 1</w:t>
      </w:r>
      <w:r>
        <w:rPr>
          <w:rFonts w:ascii="Arial" w:hAnsi="Arial" w:cs="Arial"/>
          <w:b/>
          <w:sz w:val="22"/>
          <w:szCs w:val="22"/>
        </w:rPr>
        <w:t>0</w:t>
      </w:r>
      <w:r w:rsidRPr="009F2BE7">
        <w:rPr>
          <w:rFonts w:ascii="Arial" w:hAnsi="Arial" w:cs="Arial"/>
          <w:b/>
          <w:sz w:val="22"/>
          <w:szCs w:val="22"/>
        </w:rPr>
        <w:t xml:space="preserve"> часова у Малој сали Општине Богатић на првом спрату у ул. М.Витомировића бр.1,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поновног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32F28" w:rsidRDefault="00532F28" w:rsidP="00532F2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поновног  јавног надметања позива учесника који понуди најповољнији износ да потпише Изјаву о висини понуђене цене,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поновног 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32F28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32F28" w:rsidRDefault="00532F28" w:rsidP="00532F28">
      <w:pPr>
        <w:ind w:firstLine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поновно јавно надметање објављује се  у „Гласу Подриња“, на интернет страни Општине Богатић, на огласној табли Општинске управе, огласној табли МЗ Бадовинци</w:t>
      </w:r>
    </w:p>
    <w:p w:rsidR="00532F28" w:rsidRDefault="00532F28" w:rsidP="00532F28">
      <w:pPr>
        <w:ind w:firstLine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ind w:firstLine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32F28" w:rsidRDefault="00532F28" w:rsidP="00532F28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32F28" w:rsidRPr="005E4FC2" w:rsidRDefault="00532F28" w:rsidP="00532F28">
      <w:pPr>
        <w:jc w:val="center"/>
        <w:rPr>
          <w:rFonts w:ascii="Arial" w:hAnsi="Arial" w:cs="Arial"/>
          <w:b/>
        </w:rPr>
      </w:pPr>
    </w:p>
    <w:p w:rsidR="00532F28" w:rsidRPr="000A711A" w:rsidRDefault="00532F28" w:rsidP="00532F28">
      <w:pPr>
        <w:jc w:val="center"/>
        <w:rPr>
          <w:rFonts w:ascii="Arial" w:hAnsi="Arial" w:cs="Arial"/>
          <w:b/>
          <w:lang w:val="sr-Cyrl-CS"/>
        </w:rPr>
      </w:pPr>
    </w:p>
    <w:p w:rsidR="00532F28" w:rsidRPr="00FB7F31" w:rsidRDefault="00532F28" w:rsidP="00532F28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32F28" w:rsidRDefault="00532F28" w:rsidP="00532F2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32F28" w:rsidRPr="004A7820" w:rsidRDefault="00532F28" w:rsidP="00532F2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32F28" w:rsidRPr="00756E1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32F28" w:rsidRDefault="00532F28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C2" w:rsidRDefault="007662C2" w:rsidP="00AC75A3">
      <w:r>
        <w:separator/>
      </w:r>
    </w:p>
  </w:endnote>
  <w:endnote w:type="continuationSeparator" w:id="0">
    <w:p w:rsidR="007662C2" w:rsidRDefault="007662C2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DD3AA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DD3AA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F405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DD3AA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DD3AA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DD3AA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F405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DD3AAD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C2" w:rsidRDefault="007662C2" w:rsidP="00AC75A3">
      <w:r>
        <w:separator/>
      </w:r>
    </w:p>
  </w:footnote>
  <w:footnote w:type="continuationSeparator" w:id="0">
    <w:p w:rsidR="007662C2" w:rsidRDefault="007662C2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2222A"/>
    <w:rsid w:val="00143C2E"/>
    <w:rsid w:val="00157ACC"/>
    <w:rsid w:val="001617C4"/>
    <w:rsid w:val="00163873"/>
    <w:rsid w:val="001965AC"/>
    <w:rsid w:val="001B17D9"/>
    <w:rsid w:val="001D3014"/>
    <w:rsid w:val="0022730A"/>
    <w:rsid w:val="002321FB"/>
    <w:rsid w:val="0023328D"/>
    <w:rsid w:val="00235BE5"/>
    <w:rsid w:val="00243B62"/>
    <w:rsid w:val="00247C4B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4F405B"/>
    <w:rsid w:val="00532F28"/>
    <w:rsid w:val="00556857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7C48"/>
    <w:rsid w:val="0065534A"/>
    <w:rsid w:val="006D0164"/>
    <w:rsid w:val="006D7AE8"/>
    <w:rsid w:val="00712CB6"/>
    <w:rsid w:val="007269BF"/>
    <w:rsid w:val="00753A98"/>
    <w:rsid w:val="00761615"/>
    <w:rsid w:val="007662C2"/>
    <w:rsid w:val="00797478"/>
    <w:rsid w:val="007B7DDD"/>
    <w:rsid w:val="007C2F81"/>
    <w:rsid w:val="007D13BD"/>
    <w:rsid w:val="007E7046"/>
    <w:rsid w:val="00810C59"/>
    <w:rsid w:val="00823A88"/>
    <w:rsid w:val="00824466"/>
    <w:rsid w:val="008522FD"/>
    <w:rsid w:val="008647FD"/>
    <w:rsid w:val="008752A9"/>
    <w:rsid w:val="00875605"/>
    <w:rsid w:val="00894C42"/>
    <w:rsid w:val="008A4E57"/>
    <w:rsid w:val="008A68F5"/>
    <w:rsid w:val="008B70EF"/>
    <w:rsid w:val="008C787A"/>
    <w:rsid w:val="008F736F"/>
    <w:rsid w:val="0093037D"/>
    <w:rsid w:val="00947B9F"/>
    <w:rsid w:val="00952DB7"/>
    <w:rsid w:val="00984593"/>
    <w:rsid w:val="009A314A"/>
    <w:rsid w:val="009C199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4C"/>
    <w:rsid w:val="00C34C8C"/>
    <w:rsid w:val="00C444A7"/>
    <w:rsid w:val="00C72C74"/>
    <w:rsid w:val="00C864A9"/>
    <w:rsid w:val="00CA189E"/>
    <w:rsid w:val="00CC22DC"/>
    <w:rsid w:val="00CE06D9"/>
    <w:rsid w:val="00CE22FD"/>
    <w:rsid w:val="00CF3088"/>
    <w:rsid w:val="00D009AC"/>
    <w:rsid w:val="00D04105"/>
    <w:rsid w:val="00D26651"/>
    <w:rsid w:val="00DC1468"/>
    <w:rsid w:val="00DD3AAD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8E55-B45F-47EB-98C6-6B810C90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3</cp:revision>
  <cp:lastPrinted>2024-02-26T09:12:00Z</cp:lastPrinted>
  <dcterms:created xsi:type="dcterms:W3CDTF">2024-02-26T08:12:00Z</dcterms:created>
  <dcterms:modified xsi:type="dcterms:W3CDTF">2024-02-26T09:13:00Z</dcterms:modified>
</cp:coreProperties>
</file>